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9BB" w:rsidRPr="00397C6F" w:rsidRDefault="006819BB" w:rsidP="00B16CF8">
      <w:pPr>
        <w:tabs>
          <w:tab w:val="left" w:pos="993"/>
        </w:tabs>
        <w:ind w:firstLine="567"/>
        <w:jc w:val="center"/>
        <w:rPr>
          <w:rFonts w:cs="Times New Roman"/>
          <w:sz w:val="28"/>
          <w:szCs w:val="28"/>
        </w:rPr>
      </w:pPr>
      <w:r w:rsidRPr="00397C6F">
        <w:rPr>
          <w:rFonts w:cs="Times New Roman"/>
          <w:b/>
          <w:sz w:val="28"/>
          <w:szCs w:val="28"/>
        </w:rPr>
        <w:t>ВІДГУК</w:t>
      </w:r>
    </w:p>
    <w:p w:rsidR="006819BB" w:rsidRPr="00397C6F" w:rsidRDefault="006819BB" w:rsidP="00397C6F">
      <w:pPr>
        <w:tabs>
          <w:tab w:val="left" w:pos="993"/>
        </w:tabs>
        <w:spacing w:line="276" w:lineRule="auto"/>
        <w:ind w:firstLine="567"/>
        <w:jc w:val="center"/>
        <w:rPr>
          <w:rFonts w:cs="Times New Roman"/>
          <w:sz w:val="28"/>
          <w:szCs w:val="28"/>
        </w:rPr>
      </w:pPr>
      <w:r w:rsidRPr="00397C6F">
        <w:rPr>
          <w:rFonts w:cs="Times New Roman"/>
          <w:sz w:val="28"/>
          <w:szCs w:val="28"/>
        </w:rPr>
        <w:t>офіційного опонента на дисертаційну роботу Хаблака Сергія Григоровича «</w:t>
      </w:r>
      <w:r w:rsidRPr="00397C6F">
        <w:rPr>
          <w:rFonts w:cs="Times New Roman"/>
          <w:bCs/>
          <w:sz w:val="28"/>
          <w:szCs w:val="28"/>
        </w:rPr>
        <w:t>Генетичний контроль розвитку</w:t>
      </w:r>
      <w:r w:rsidRPr="00397C6F">
        <w:rPr>
          <w:rFonts w:cs="Times New Roman"/>
          <w:sz w:val="28"/>
          <w:szCs w:val="28"/>
        </w:rPr>
        <w:t xml:space="preserve"> </w:t>
      </w:r>
      <w:r w:rsidRPr="00397C6F">
        <w:rPr>
          <w:rFonts w:cs="Times New Roman"/>
          <w:bCs/>
          <w:sz w:val="28"/>
          <w:szCs w:val="28"/>
        </w:rPr>
        <w:t xml:space="preserve">кореневої системи у </w:t>
      </w:r>
      <w:r w:rsidRPr="00397C6F">
        <w:rPr>
          <w:rFonts w:cs="Times New Roman"/>
          <w:bCs/>
          <w:i/>
          <w:iCs/>
          <w:sz w:val="28"/>
          <w:szCs w:val="28"/>
        </w:rPr>
        <w:t>Arabidopsis thaliana</w:t>
      </w:r>
      <w:r w:rsidRPr="00397C6F">
        <w:rPr>
          <w:rFonts w:cs="Times New Roman"/>
          <w:bCs/>
          <w:sz w:val="28"/>
          <w:szCs w:val="28"/>
        </w:rPr>
        <w:t xml:space="preserve"> (L.) Heynh.</w:t>
      </w:r>
      <w:r w:rsidRPr="00397C6F">
        <w:rPr>
          <w:rFonts w:cs="Times New Roman"/>
          <w:sz w:val="28"/>
          <w:szCs w:val="28"/>
        </w:rPr>
        <w:t xml:space="preserve">», подану на здобуття наукового ступеня доктора біологічних наук </w:t>
      </w:r>
      <w:r>
        <w:rPr>
          <w:rFonts w:cs="Times New Roman"/>
          <w:sz w:val="28"/>
          <w:szCs w:val="28"/>
        </w:rPr>
        <w:t xml:space="preserve"> </w:t>
      </w:r>
    </w:p>
    <w:p w:rsidR="006819BB" w:rsidRPr="00397C6F" w:rsidRDefault="006819BB" w:rsidP="00397C6F">
      <w:pPr>
        <w:tabs>
          <w:tab w:val="left" w:pos="993"/>
        </w:tabs>
        <w:spacing w:line="276" w:lineRule="auto"/>
        <w:ind w:firstLine="567"/>
        <w:jc w:val="center"/>
        <w:rPr>
          <w:rFonts w:cs="Times New Roman"/>
          <w:sz w:val="28"/>
          <w:szCs w:val="28"/>
        </w:rPr>
      </w:pPr>
      <w:r w:rsidRPr="00397C6F">
        <w:rPr>
          <w:rFonts w:cs="Times New Roman"/>
          <w:sz w:val="28"/>
          <w:szCs w:val="28"/>
        </w:rPr>
        <w:t>за спеціальністю 03.00.15 –генетика</w:t>
      </w:r>
    </w:p>
    <w:p w:rsidR="006819BB" w:rsidRPr="00397C6F" w:rsidRDefault="006819BB" w:rsidP="00B16CF8">
      <w:pPr>
        <w:tabs>
          <w:tab w:val="left" w:pos="993"/>
        </w:tabs>
        <w:ind w:firstLine="567"/>
        <w:rPr>
          <w:rFonts w:cs="Times New Roman"/>
          <w:sz w:val="28"/>
          <w:szCs w:val="28"/>
        </w:rPr>
      </w:pPr>
    </w:p>
    <w:p w:rsidR="006819BB" w:rsidRPr="005E7C61" w:rsidRDefault="006819BB" w:rsidP="00B16CF8">
      <w:pPr>
        <w:tabs>
          <w:tab w:val="left" w:pos="993"/>
        </w:tabs>
        <w:ind w:firstLine="567"/>
        <w:rPr>
          <w:rFonts w:cs="Times New Roman"/>
          <w:sz w:val="28"/>
          <w:szCs w:val="28"/>
          <w:lang w:eastAsia="uk-UA"/>
        </w:rPr>
      </w:pPr>
      <w:r w:rsidRPr="00397C6F">
        <w:rPr>
          <w:rFonts w:cs="Times New Roman"/>
          <w:b/>
          <w:sz w:val="28"/>
          <w:szCs w:val="28"/>
        </w:rPr>
        <w:t>Актуальність роботи</w:t>
      </w:r>
      <w:r w:rsidRPr="00397C6F">
        <w:rPr>
          <w:rFonts w:cs="Times New Roman"/>
          <w:sz w:val="28"/>
          <w:szCs w:val="28"/>
        </w:rPr>
        <w:t xml:space="preserve">. Для отримання нових високоврожайних форм рослин необхідно розуміння генетичних основ контролю різних метаболічних процесів та процесів розвитку та морфогенезу. У таких фундаментальних дослідженнях зручно використовувати модельні об’єкти з невеликою кількістю хромосом, коротким циклом розвитку, сиквенованим геномом та великою кількістю мутантних ліній. </w:t>
      </w:r>
      <w:r w:rsidRPr="00397C6F">
        <w:rPr>
          <w:rFonts w:cs="Times New Roman"/>
          <w:bCs/>
          <w:i/>
          <w:iCs/>
          <w:sz w:val="28"/>
          <w:szCs w:val="28"/>
        </w:rPr>
        <w:t>Arabidopsis thaliana</w:t>
      </w:r>
      <w:r w:rsidRPr="00397C6F">
        <w:rPr>
          <w:rFonts w:cs="Times New Roman"/>
          <w:bCs/>
          <w:sz w:val="28"/>
          <w:szCs w:val="28"/>
        </w:rPr>
        <w:t xml:space="preserve"> є </w:t>
      </w:r>
      <w:r w:rsidRPr="00397C6F">
        <w:rPr>
          <w:rFonts w:cs="Times New Roman"/>
          <w:sz w:val="28"/>
          <w:szCs w:val="28"/>
        </w:rPr>
        <w:t xml:space="preserve">однією із модельних рослин, яка відповідає цим вимогам. На сьогоднішній день ідентифіковано та вивчено гени, що контролюють морфогенез та функціонування листка, стебла та квітки. Отримані дані стосовно </w:t>
      </w:r>
      <w:r w:rsidRPr="005E7C61">
        <w:rPr>
          <w:rFonts w:cs="Times New Roman"/>
          <w:bCs/>
          <w:sz w:val="28"/>
          <w:szCs w:val="28"/>
          <w:lang w:eastAsia="uk-UA"/>
        </w:rPr>
        <w:t>генетичного контролю структури і активнос</w:t>
      </w:r>
      <w:r w:rsidRPr="00397C6F">
        <w:rPr>
          <w:rFonts w:cs="Times New Roman"/>
          <w:bCs/>
          <w:sz w:val="28"/>
          <w:szCs w:val="28"/>
          <w:lang w:eastAsia="uk-UA"/>
        </w:rPr>
        <w:t>ті верхівкової меристеми пагона</w:t>
      </w:r>
      <w:r w:rsidRPr="005E7C61">
        <w:rPr>
          <w:rFonts w:cs="Times New Roman"/>
          <w:bCs/>
          <w:sz w:val="28"/>
          <w:szCs w:val="28"/>
          <w:lang w:eastAsia="uk-UA"/>
        </w:rPr>
        <w:t xml:space="preserve">. </w:t>
      </w:r>
      <w:r w:rsidRPr="00397C6F">
        <w:rPr>
          <w:rFonts w:cs="Times New Roman"/>
          <w:bCs/>
          <w:sz w:val="28"/>
          <w:szCs w:val="28"/>
          <w:lang w:eastAsia="uk-UA"/>
        </w:rPr>
        <w:t xml:space="preserve">Незважаючи на чисельні дослідження, що ведуться у цьому напрямку </w:t>
      </w:r>
      <w:r w:rsidRPr="005E7C61">
        <w:rPr>
          <w:rFonts w:cs="Times New Roman"/>
          <w:sz w:val="28"/>
          <w:szCs w:val="28"/>
          <w:lang w:eastAsia="uk-UA"/>
        </w:rPr>
        <w:t xml:space="preserve">питання генетики морфогенезу кореневої системи </w:t>
      </w:r>
      <w:r w:rsidRPr="005E7C61">
        <w:rPr>
          <w:rFonts w:cs="Times New Roman"/>
          <w:i/>
          <w:sz w:val="28"/>
          <w:szCs w:val="28"/>
          <w:lang w:eastAsia="uk-UA"/>
        </w:rPr>
        <w:t>A. thaliana</w:t>
      </w:r>
      <w:r w:rsidRPr="005E7C61">
        <w:rPr>
          <w:rFonts w:cs="Times New Roman"/>
          <w:sz w:val="28"/>
          <w:szCs w:val="28"/>
          <w:lang w:eastAsia="uk-UA"/>
        </w:rPr>
        <w:t xml:space="preserve"> залишаються недостатньо </w:t>
      </w:r>
      <w:r w:rsidRPr="00397C6F">
        <w:rPr>
          <w:rFonts w:cs="Times New Roman"/>
          <w:sz w:val="28"/>
          <w:szCs w:val="28"/>
          <w:lang w:eastAsia="uk-UA"/>
        </w:rPr>
        <w:t>вивченими</w:t>
      </w:r>
      <w:r w:rsidRPr="005E7C61">
        <w:rPr>
          <w:rFonts w:cs="Times New Roman"/>
          <w:sz w:val="28"/>
          <w:szCs w:val="28"/>
          <w:lang w:eastAsia="uk-UA"/>
        </w:rPr>
        <w:t xml:space="preserve">. </w:t>
      </w:r>
      <w:r w:rsidRPr="00397C6F">
        <w:rPr>
          <w:rFonts w:cs="Times New Roman"/>
          <w:sz w:val="28"/>
          <w:szCs w:val="28"/>
          <w:lang w:eastAsia="uk-UA"/>
        </w:rPr>
        <w:t>Досі залишаються нез’ясованими для</w:t>
      </w:r>
      <w:r w:rsidRPr="005E7C61">
        <w:rPr>
          <w:rFonts w:cs="Times New Roman"/>
          <w:sz w:val="28"/>
          <w:szCs w:val="28"/>
          <w:lang w:eastAsia="uk-UA"/>
        </w:rPr>
        <w:t xml:space="preserve"> арабідопсису</w:t>
      </w:r>
      <w:r w:rsidRPr="00397C6F">
        <w:rPr>
          <w:rFonts w:cs="Times New Roman"/>
          <w:sz w:val="28"/>
          <w:szCs w:val="28"/>
          <w:lang w:eastAsia="uk-UA"/>
        </w:rPr>
        <w:t xml:space="preserve"> </w:t>
      </w:r>
      <w:r w:rsidRPr="005E7C61">
        <w:rPr>
          <w:rFonts w:cs="Times New Roman"/>
          <w:sz w:val="28"/>
          <w:szCs w:val="28"/>
          <w:lang w:eastAsia="uk-UA"/>
        </w:rPr>
        <w:t xml:space="preserve">молекулярно-генетичні механізми, що регулюють коренеутворення, ріст коренів у довжину, стимулюють їх розгалуження, формування і розвиток кореневих волосків. </w:t>
      </w:r>
    </w:p>
    <w:p w:rsidR="006819BB" w:rsidRPr="005E7C61" w:rsidRDefault="006819BB" w:rsidP="00B16CF8">
      <w:pPr>
        <w:tabs>
          <w:tab w:val="left" w:pos="993"/>
        </w:tabs>
        <w:autoSpaceDE w:val="0"/>
        <w:autoSpaceDN w:val="0"/>
        <w:adjustRightInd w:val="0"/>
        <w:ind w:firstLine="567"/>
        <w:contextualSpacing w:val="0"/>
        <w:rPr>
          <w:rFonts w:cs="Times New Roman"/>
          <w:sz w:val="28"/>
          <w:szCs w:val="28"/>
          <w:lang w:eastAsia="uk-UA"/>
        </w:rPr>
      </w:pPr>
      <w:r w:rsidRPr="00397C6F">
        <w:rPr>
          <w:rFonts w:cs="Times New Roman"/>
          <w:sz w:val="28"/>
          <w:szCs w:val="28"/>
          <w:lang w:eastAsia="uk-UA"/>
        </w:rPr>
        <w:t xml:space="preserve">Представлена дисертаційна робота Хаблака С.Г. присвячена вивченню </w:t>
      </w:r>
      <w:r w:rsidRPr="005E7C61">
        <w:rPr>
          <w:rFonts w:cs="Times New Roman"/>
          <w:sz w:val="28"/>
          <w:szCs w:val="28"/>
          <w:lang w:eastAsia="uk-UA"/>
        </w:rPr>
        <w:t xml:space="preserve">генетичного контролю </w:t>
      </w:r>
      <w:r w:rsidRPr="00397C6F">
        <w:rPr>
          <w:rFonts w:cs="Times New Roman"/>
          <w:sz w:val="28"/>
          <w:szCs w:val="28"/>
          <w:lang w:eastAsia="uk-UA"/>
        </w:rPr>
        <w:t>розвитку</w:t>
      </w:r>
      <w:r w:rsidRPr="005E7C61">
        <w:rPr>
          <w:rFonts w:cs="Times New Roman"/>
          <w:sz w:val="28"/>
          <w:szCs w:val="28"/>
          <w:lang w:eastAsia="uk-UA"/>
        </w:rPr>
        <w:t xml:space="preserve"> кореневої системи </w:t>
      </w:r>
      <w:r w:rsidRPr="005E7C61">
        <w:rPr>
          <w:rFonts w:cs="Times New Roman"/>
          <w:i/>
          <w:sz w:val="28"/>
          <w:szCs w:val="28"/>
          <w:lang w:eastAsia="uk-UA"/>
        </w:rPr>
        <w:t>A. thaliana</w:t>
      </w:r>
      <w:r w:rsidRPr="005E7C61">
        <w:rPr>
          <w:rFonts w:cs="Times New Roman"/>
          <w:sz w:val="28"/>
          <w:szCs w:val="28"/>
          <w:lang w:eastAsia="uk-UA"/>
        </w:rPr>
        <w:t xml:space="preserve">, </w:t>
      </w:r>
      <w:r w:rsidRPr="00397C6F">
        <w:rPr>
          <w:rFonts w:cs="Times New Roman"/>
          <w:sz w:val="28"/>
          <w:szCs w:val="28"/>
          <w:lang w:eastAsia="uk-UA"/>
        </w:rPr>
        <w:t xml:space="preserve">ідентифікації залучених у морфогенез </w:t>
      </w:r>
      <w:r w:rsidRPr="005E7C61">
        <w:rPr>
          <w:rFonts w:cs="Times New Roman"/>
          <w:sz w:val="28"/>
          <w:szCs w:val="28"/>
          <w:lang w:eastAsia="uk-UA"/>
        </w:rPr>
        <w:t>генів, встанов</w:t>
      </w:r>
      <w:r w:rsidRPr="00397C6F">
        <w:rPr>
          <w:rFonts w:cs="Times New Roman"/>
          <w:sz w:val="28"/>
          <w:szCs w:val="28"/>
          <w:lang w:eastAsia="uk-UA"/>
        </w:rPr>
        <w:t>ленню</w:t>
      </w:r>
      <w:r w:rsidRPr="005E7C61">
        <w:rPr>
          <w:rFonts w:cs="Times New Roman"/>
          <w:sz w:val="28"/>
          <w:szCs w:val="28"/>
          <w:lang w:eastAsia="uk-UA"/>
        </w:rPr>
        <w:t xml:space="preserve"> характеру успадковування цих генів. </w:t>
      </w:r>
      <w:r w:rsidRPr="00397C6F">
        <w:rPr>
          <w:rFonts w:cs="Times New Roman"/>
          <w:sz w:val="28"/>
          <w:szCs w:val="28"/>
          <w:lang w:eastAsia="uk-UA"/>
        </w:rPr>
        <w:t xml:space="preserve">Особлива увага у роботі приділяється </w:t>
      </w:r>
      <w:r w:rsidRPr="005E7C61">
        <w:rPr>
          <w:rFonts w:cs="Times New Roman"/>
          <w:sz w:val="28"/>
          <w:szCs w:val="28"/>
          <w:lang w:eastAsia="uk-UA"/>
        </w:rPr>
        <w:t>дослідженн</w:t>
      </w:r>
      <w:r w:rsidRPr="00397C6F">
        <w:rPr>
          <w:rFonts w:cs="Times New Roman"/>
          <w:sz w:val="28"/>
          <w:szCs w:val="28"/>
          <w:lang w:eastAsia="uk-UA"/>
        </w:rPr>
        <w:t>ю</w:t>
      </w:r>
      <w:r w:rsidRPr="005E7C61">
        <w:rPr>
          <w:rFonts w:cs="Times New Roman"/>
          <w:sz w:val="28"/>
          <w:szCs w:val="28"/>
          <w:lang w:eastAsia="uk-UA"/>
        </w:rPr>
        <w:t xml:space="preserve"> генетики мінерального живлення у арабідопсису, встановленн</w:t>
      </w:r>
      <w:r w:rsidRPr="00397C6F">
        <w:rPr>
          <w:rFonts w:cs="Times New Roman"/>
          <w:sz w:val="28"/>
          <w:szCs w:val="28"/>
          <w:lang w:eastAsia="uk-UA"/>
        </w:rPr>
        <w:t>ю</w:t>
      </w:r>
      <w:r w:rsidRPr="005E7C61">
        <w:rPr>
          <w:rFonts w:cs="Times New Roman"/>
          <w:sz w:val="28"/>
          <w:szCs w:val="28"/>
          <w:lang w:eastAsia="uk-UA"/>
        </w:rPr>
        <w:t xml:space="preserve"> фізіологічних і генетичних механізмів, що визначають генотипову специфіку чутливості рослин до умов кореневого живлення. </w:t>
      </w:r>
      <w:r w:rsidRPr="00397C6F">
        <w:rPr>
          <w:rFonts w:cs="Times New Roman"/>
          <w:sz w:val="28"/>
          <w:szCs w:val="28"/>
          <w:lang w:eastAsia="uk-UA"/>
        </w:rPr>
        <w:t xml:space="preserve">Отримані на модельному об’єкті </w:t>
      </w:r>
      <w:r w:rsidRPr="00397C6F">
        <w:rPr>
          <w:rFonts w:cs="Times New Roman"/>
          <w:iCs/>
          <w:sz w:val="28"/>
          <w:szCs w:val="28"/>
          <w:lang w:eastAsia="uk-UA"/>
        </w:rPr>
        <w:t>результати таких</w:t>
      </w:r>
      <w:r w:rsidRPr="005E7C61">
        <w:rPr>
          <w:rFonts w:cs="Times New Roman"/>
          <w:iCs/>
          <w:sz w:val="28"/>
          <w:szCs w:val="28"/>
          <w:lang w:eastAsia="uk-UA"/>
        </w:rPr>
        <w:t xml:space="preserve"> досліджень</w:t>
      </w:r>
      <w:r w:rsidRPr="00397C6F">
        <w:rPr>
          <w:rFonts w:cs="Times New Roman"/>
          <w:iCs/>
          <w:sz w:val="28"/>
          <w:szCs w:val="28"/>
          <w:lang w:eastAsia="uk-UA"/>
        </w:rPr>
        <w:t xml:space="preserve"> </w:t>
      </w:r>
      <w:r w:rsidRPr="005E7C61">
        <w:rPr>
          <w:rFonts w:cs="Times New Roman"/>
          <w:iCs/>
          <w:sz w:val="28"/>
          <w:szCs w:val="28"/>
          <w:lang w:eastAsia="uk-UA"/>
        </w:rPr>
        <w:t>можуть бути використані</w:t>
      </w:r>
      <w:r w:rsidRPr="00397C6F">
        <w:rPr>
          <w:rFonts w:cs="Times New Roman"/>
          <w:iCs/>
          <w:sz w:val="28"/>
          <w:szCs w:val="28"/>
          <w:lang w:eastAsia="uk-UA"/>
        </w:rPr>
        <w:t xml:space="preserve"> у селекційній роботі</w:t>
      </w:r>
      <w:r w:rsidRPr="005E7C61">
        <w:rPr>
          <w:rFonts w:cs="Times New Roman"/>
          <w:iCs/>
          <w:color w:val="000000"/>
          <w:sz w:val="28"/>
          <w:szCs w:val="28"/>
          <w:lang w:eastAsia="uk-UA"/>
        </w:rPr>
        <w:t xml:space="preserve"> для створення сортів, </w:t>
      </w:r>
      <w:r w:rsidRPr="005E7C61">
        <w:rPr>
          <w:rFonts w:cs="Times New Roman"/>
          <w:bCs/>
          <w:sz w:val="28"/>
          <w:szCs w:val="28"/>
          <w:lang w:eastAsia="uk-UA"/>
        </w:rPr>
        <w:t>які ефективно поглинають мінеральні елементи ґрунту і добрив</w:t>
      </w:r>
      <w:r w:rsidRPr="00397C6F">
        <w:rPr>
          <w:rFonts w:cs="Times New Roman"/>
          <w:bCs/>
          <w:sz w:val="28"/>
          <w:szCs w:val="28"/>
          <w:lang w:eastAsia="uk-UA"/>
        </w:rPr>
        <w:t>, і таким чином, характеризуються більшою продуктивністю</w:t>
      </w:r>
      <w:r w:rsidRPr="005E7C61">
        <w:rPr>
          <w:rFonts w:cs="Times New Roman"/>
          <w:bCs/>
          <w:sz w:val="28"/>
          <w:szCs w:val="28"/>
          <w:lang w:eastAsia="uk-UA"/>
        </w:rPr>
        <w:t>.</w:t>
      </w:r>
      <w:r w:rsidRPr="00397C6F">
        <w:rPr>
          <w:rFonts w:cs="Times New Roman"/>
          <w:bCs/>
          <w:sz w:val="28"/>
          <w:szCs w:val="28"/>
          <w:lang w:eastAsia="uk-UA"/>
        </w:rPr>
        <w:t xml:space="preserve"> З огляду на все вищесказане роботу </w:t>
      </w:r>
      <w:r w:rsidRPr="00397C6F">
        <w:rPr>
          <w:rFonts w:cs="Times New Roman"/>
          <w:sz w:val="28"/>
          <w:szCs w:val="28"/>
          <w:lang w:eastAsia="uk-UA"/>
        </w:rPr>
        <w:t>Хаблака С.Г. слід вважати актуальною.</w:t>
      </w:r>
    </w:p>
    <w:p w:rsidR="006819BB" w:rsidRPr="00397C6F" w:rsidRDefault="006819BB" w:rsidP="00B16CF8">
      <w:pPr>
        <w:tabs>
          <w:tab w:val="left" w:pos="993"/>
        </w:tabs>
        <w:autoSpaceDE w:val="0"/>
        <w:autoSpaceDN w:val="0"/>
        <w:adjustRightInd w:val="0"/>
        <w:ind w:firstLine="567"/>
        <w:rPr>
          <w:rFonts w:cs="Times New Roman"/>
          <w:b/>
          <w:sz w:val="28"/>
          <w:szCs w:val="28"/>
        </w:rPr>
      </w:pPr>
      <w:r w:rsidRPr="00397C6F">
        <w:rPr>
          <w:rFonts w:cs="Times New Roman"/>
          <w:b/>
          <w:sz w:val="28"/>
          <w:szCs w:val="28"/>
        </w:rPr>
        <w:t>Структура роботи та обсяг.</w:t>
      </w:r>
      <w:r w:rsidRPr="00397C6F">
        <w:rPr>
          <w:rFonts w:cs="Times New Roman"/>
          <w:sz w:val="28"/>
          <w:szCs w:val="28"/>
        </w:rPr>
        <w:t xml:space="preserve"> </w:t>
      </w:r>
      <w:r w:rsidRPr="00397C6F">
        <w:rPr>
          <w:rFonts w:cs="Times New Roman"/>
          <w:bCs/>
          <w:sz w:val="28"/>
          <w:szCs w:val="28"/>
        </w:rPr>
        <w:t xml:space="preserve">Дисертація викладена на 331 сторінці тексту, містить 41 таблицю, 39 рисунків і 4 додатки. </w:t>
      </w:r>
      <w:r w:rsidRPr="00397C6F">
        <w:rPr>
          <w:rFonts w:cs="Times New Roman"/>
          <w:sz w:val="28"/>
          <w:szCs w:val="28"/>
        </w:rPr>
        <w:t xml:space="preserve">Робота побудована за традиційною схемою та складається з наступних розділів: вступ, огляд літератури, матеріали та методи дослідження, експериментальна частина, висновки та список використаних літературних джерел, який включає 521 бібліографічні описи. </w:t>
      </w:r>
    </w:p>
    <w:p w:rsidR="006819BB" w:rsidRPr="00397C6F" w:rsidRDefault="006819BB" w:rsidP="00B16CF8">
      <w:pPr>
        <w:tabs>
          <w:tab w:val="left" w:pos="567"/>
          <w:tab w:val="left" w:pos="993"/>
        </w:tabs>
        <w:ind w:firstLine="567"/>
        <w:rPr>
          <w:rFonts w:cs="Times New Roman"/>
          <w:sz w:val="28"/>
          <w:szCs w:val="28"/>
        </w:rPr>
      </w:pPr>
      <w:r w:rsidRPr="00397C6F">
        <w:rPr>
          <w:rFonts w:cs="Times New Roman"/>
          <w:b/>
          <w:sz w:val="28"/>
          <w:szCs w:val="28"/>
        </w:rPr>
        <w:t>Вступ</w:t>
      </w:r>
      <w:r w:rsidRPr="00397C6F">
        <w:rPr>
          <w:rFonts w:cs="Times New Roman"/>
          <w:sz w:val="28"/>
          <w:szCs w:val="28"/>
        </w:rPr>
        <w:t xml:space="preserve"> містить необхідну інформацію про актуальність теми, зв’язок роботи з науковими програмами, мету, завдання та методи дослідження. Наведено предмет та об’єкт дослідження, сформульовано наукову новизну одержаних результатів та їх практичне значення, особистий внесок дисертанта та наведено дані про апробацію результатів дисертації.</w:t>
      </w:r>
    </w:p>
    <w:p w:rsidR="006819BB" w:rsidRPr="00397C6F" w:rsidRDefault="006819BB" w:rsidP="00B16CF8">
      <w:pPr>
        <w:tabs>
          <w:tab w:val="left" w:pos="567"/>
          <w:tab w:val="left" w:pos="993"/>
        </w:tabs>
        <w:ind w:firstLine="567"/>
        <w:rPr>
          <w:rFonts w:cs="Times New Roman"/>
          <w:sz w:val="28"/>
          <w:szCs w:val="28"/>
        </w:rPr>
      </w:pPr>
      <w:r w:rsidRPr="00397C6F">
        <w:rPr>
          <w:rFonts w:cs="Times New Roman"/>
          <w:sz w:val="28"/>
          <w:szCs w:val="28"/>
        </w:rPr>
        <w:t>Розділ «</w:t>
      </w:r>
      <w:r w:rsidRPr="00397C6F">
        <w:rPr>
          <w:rFonts w:cs="Times New Roman"/>
          <w:b/>
          <w:sz w:val="28"/>
          <w:szCs w:val="28"/>
        </w:rPr>
        <w:t>Огляд літератури</w:t>
      </w:r>
      <w:r w:rsidRPr="00397C6F">
        <w:rPr>
          <w:rFonts w:cs="Times New Roman"/>
          <w:sz w:val="28"/>
          <w:szCs w:val="28"/>
        </w:rPr>
        <w:t>» складається з двох підрозділів, містить аналіз літературних джерел. Розглядаються сучасні роботи присвячені дослідженню арабідопсису як модельного об’єкту. Наведено характеристику генів, залучених формування довжини, товщини та галуження коренів. Дається опис генів, пов’язаних із метаболізмом та сигналінгом фітогормонів. Представлений аналіз наукової періодики доводить актуальність обраної теми та дозволяє обґрунтувати поставлені у роботі дослідницькі завдання.</w:t>
      </w:r>
    </w:p>
    <w:p w:rsidR="006819BB" w:rsidRPr="00397C6F" w:rsidRDefault="006819BB" w:rsidP="00B16CF8">
      <w:pPr>
        <w:tabs>
          <w:tab w:val="left" w:pos="993"/>
        </w:tabs>
        <w:ind w:firstLine="567"/>
        <w:rPr>
          <w:rFonts w:cs="Times New Roman"/>
          <w:sz w:val="28"/>
          <w:szCs w:val="28"/>
        </w:rPr>
      </w:pPr>
      <w:r w:rsidRPr="00397C6F">
        <w:rPr>
          <w:rFonts w:cs="Times New Roman"/>
          <w:sz w:val="28"/>
          <w:szCs w:val="28"/>
        </w:rPr>
        <w:t>У розділі «</w:t>
      </w:r>
      <w:r w:rsidRPr="00397C6F">
        <w:rPr>
          <w:rFonts w:cs="Times New Roman"/>
          <w:b/>
          <w:sz w:val="28"/>
          <w:szCs w:val="28"/>
        </w:rPr>
        <w:t>Матеріали і методи дослідження</w:t>
      </w:r>
      <w:r w:rsidRPr="00397C6F">
        <w:rPr>
          <w:rFonts w:cs="Times New Roman"/>
          <w:sz w:val="28"/>
          <w:szCs w:val="28"/>
        </w:rPr>
        <w:t xml:space="preserve">» характеризується арабідопсис дикого типу рас Landsberg, Columbia та мутантні лінії, використані у дослідженнях. Наведено умови вирощування та склад живильного середовища. Детально описано проведення схрещування рослин. У роботі використані </w:t>
      </w:r>
      <w:r w:rsidRPr="00397C6F">
        <w:rPr>
          <w:rFonts w:cs="Times New Roman"/>
          <w:iCs/>
          <w:sz w:val="28"/>
          <w:szCs w:val="28"/>
        </w:rPr>
        <w:t>вегетаційний, порівняльно-морфологічний; гібридологічний, лабораторний методи</w:t>
      </w:r>
      <w:r w:rsidRPr="00397C6F">
        <w:rPr>
          <w:rFonts w:cs="Times New Roman"/>
          <w:sz w:val="28"/>
          <w:szCs w:val="28"/>
        </w:rPr>
        <w:t xml:space="preserve">. </w:t>
      </w:r>
    </w:p>
    <w:p w:rsidR="006819BB" w:rsidRPr="00397C6F" w:rsidRDefault="006819BB" w:rsidP="00B16CF8">
      <w:pPr>
        <w:tabs>
          <w:tab w:val="left" w:pos="993"/>
        </w:tabs>
        <w:ind w:firstLine="567"/>
        <w:rPr>
          <w:rFonts w:cs="Times New Roman"/>
          <w:sz w:val="28"/>
          <w:szCs w:val="28"/>
        </w:rPr>
      </w:pPr>
      <w:r w:rsidRPr="00397C6F">
        <w:rPr>
          <w:rFonts w:cs="Times New Roman"/>
          <w:b/>
          <w:sz w:val="28"/>
          <w:szCs w:val="28"/>
        </w:rPr>
        <w:t>Результати досліджень</w:t>
      </w:r>
      <w:r w:rsidRPr="00397C6F">
        <w:rPr>
          <w:rFonts w:cs="Times New Roman"/>
          <w:sz w:val="28"/>
          <w:szCs w:val="28"/>
        </w:rPr>
        <w:t xml:space="preserve"> та їх обговорення представлені у п’яти розділах. Показано, що у рослин рас Columbia і Landsberg на різних фазах онтогенезу коренева система володіє різною лабільністю. Велика морфологічна мінливість будови кореневої системи у рослин відмічено в репродуктивний період розвитку на пізніх фазах розвитку і росту. Автором із використанням низки мутантних ліній досліджено генетику морфогенезу кореневих волосків; вивчено роль генів, що регулюють активність апікальної меристеми кореня, відповідальні за гормональну регуляцію галуження коренів; вивчено взаємодію та роль генів </w:t>
      </w:r>
      <w:r w:rsidRPr="00397C6F">
        <w:rPr>
          <w:rFonts w:cs="Times New Roman"/>
          <w:i/>
          <w:sz w:val="28"/>
          <w:szCs w:val="28"/>
        </w:rPr>
        <w:t>RHD3</w:t>
      </w:r>
      <w:r w:rsidRPr="00397C6F">
        <w:rPr>
          <w:rFonts w:cs="Times New Roman"/>
          <w:sz w:val="28"/>
          <w:szCs w:val="28"/>
        </w:rPr>
        <w:t xml:space="preserve"> і </w:t>
      </w:r>
      <w:r w:rsidRPr="00397C6F">
        <w:rPr>
          <w:rFonts w:cs="Times New Roman"/>
          <w:i/>
          <w:sz w:val="28"/>
          <w:szCs w:val="28"/>
        </w:rPr>
        <w:t>SAR1</w:t>
      </w:r>
      <w:r w:rsidRPr="00397C6F">
        <w:rPr>
          <w:rFonts w:cs="Times New Roman"/>
          <w:sz w:val="28"/>
          <w:szCs w:val="28"/>
        </w:rPr>
        <w:t>,</w:t>
      </w:r>
      <w:r w:rsidRPr="00397C6F">
        <w:rPr>
          <w:rStyle w:val="hps"/>
          <w:sz w:val="28"/>
          <w:szCs w:val="28"/>
        </w:rPr>
        <w:t xml:space="preserve"> </w:t>
      </w:r>
      <w:r w:rsidRPr="00397C6F">
        <w:rPr>
          <w:rStyle w:val="hps"/>
          <w:i/>
          <w:sz w:val="28"/>
          <w:szCs w:val="28"/>
        </w:rPr>
        <w:t>GPA1</w:t>
      </w:r>
      <w:r w:rsidRPr="00397C6F">
        <w:rPr>
          <w:rFonts w:cs="Times New Roman"/>
          <w:sz w:val="28"/>
          <w:szCs w:val="28"/>
        </w:rPr>
        <w:t xml:space="preserve"> </w:t>
      </w:r>
      <w:r w:rsidRPr="00397C6F">
        <w:rPr>
          <w:rStyle w:val="hps"/>
          <w:sz w:val="28"/>
          <w:szCs w:val="28"/>
        </w:rPr>
        <w:t>і</w:t>
      </w:r>
      <w:r w:rsidRPr="00397C6F">
        <w:rPr>
          <w:rFonts w:cs="Times New Roman"/>
          <w:sz w:val="28"/>
          <w:szCs w:val="28"/>
        </w:rPr>
        <w:t xml:space="preserve"> </w:t>
      </w:r>
      <w:r w:rsidRPr="00397C6F">
        <w:rPr>
          <w:rStyle w:val="hps"/>
          <w:i/>
          <w:sz w:val="28"/>
          <w:szCs w:val="28"/>
        </w:rPr>
        <w:t>SLR1</w:t>
      </w:r>
      <w:r w:rsidRPr="00397C6F">
        <w:rPr>
          <w:rStyle w:val="hps"/>
          <w:sz w:val="28"/>
          <w:szCs w:val="28"/>
        </w:rPr>
        <w:t xml:space="preserve"> та </w:t>
      </w:r>
      <w:r w:rsidRPr="00397C6F">
        <w:rPr>
          <w:rStyle w:val="hps"/>
          <w:i/>
          <w:sz w:val="28"/>
          <w:szCs w:val="28"/>
        </w:rPr>
        <w:t>SHY2</w:t>
      </w:r>
      <w:r w:rsidRPr="00397C6F">
        <w:rPr>
          <w:rFonts w:cs="Times New Roman"/>
          <w:i/>
          <w:sz w:val="28"/>
          <w:szCs w:val="28"/>
        </w:rPr>
        <w:t xml:space="preserve"> </w:t>
      </w:r>
      <w:r w:rsidRPr="00397C6F">
        <w:rPr>
          <w:rStyle w:val="hps"/>
          <w:sz w:val="28"/>
          <w:szCs w:val="28"/>
        </w:rPr>
        <w:t>і</w:t>
      </w:r>
      <w:r w:rsidRPr="00397C6F">
        <w:rPr>
          <w:rFonts w:cs="Times New Roman"/>
          <w:sz w:val="28"/>
          <w:szCs w:val="28"/>
        </w:rPr>
        <w:t xml:space="preserve"> </w:t>
      </w:r>
      <w:r w:rsidRPr="00397C6F">
        <w:rPr>
          <w:rStyle w:val="hps"/>
          <w:i/>
          <w:sz w:val="28"/>
          <w:szCs w:val="28"/>
        </w:rPr>
        <w:t>MSG1, ETR1</w:t>
      </w:r>
      <w:r w:rsidRPr="00397C6F">
        <w:rPr>
          <w:rStyle w:val="hps"/>
          <w:sz w:val="28"/>
          <w:szCs w:val="28"/>
        </w:rPr>
        <w:t xml:space="preserve"> та</w:t>
      </w:r>
      <w:r w:rsidRPr="00397C6F">
        <w:rPr>
          <w:rStyle w:val="hps"/>
          <w:i/>
          <w:sz w:val="28"/>
          <w:szCs w:val="28"/>
        </w:rPr>
        <w:t xml:space="preserve"> ETR2</w:t>
      </w:r>
      <w:r w:rsidRPr="00397C6F">
        <w:rPr>
          <w:rFonts w:cs="Times New Roman"/>
          <w:sz w:val="28"/>
          <w:szCs w:val="28"/>
        </w:rPr>
        <w:t xml:space="preserve"> та ін.; досліджено генетику мінерального живлення. В кінці кожного розділу дисертант робить висновок із отриманих результатів.</w:t>
      </w:r>
    </w:p>
    <w:p w:rsidR="006819BB" w:rsidRPr="00397C6F" w:rsidRDefault="006819BB" w:rsidP="00B16CF8">
      <w:pPr>
        <w:tabs>
          <w:tab w:val="left" w:pos="567"/>
          <w:tab w:val="left" w:pos="993"/>
        </w:tabs>
        <w:ind w:firstLine="567"/>
        <w:rPr>
          <w:rFonts w:cs="Times New Roman"/>
          <w:sz w:val="28"/>
          <w:szCs w:val="28"/>
        </w:rPr>
      </w:pPr>
      <w:r w:rsidRPr="00397C6F">
        <w:rPr>
          <w:rFonts w:cs="Times New Roman"/>
          <w:sz w:val="28"/>
          <w:szCs w:val="28"/>
        </w:rPr>
        <w:t>Останній розділ дисертації – «</w:t>
      </w:r>
      <w:r w:rsidRPr="00397C6F">
        <w:rPr>
          <w:rFonts w:cs="Times New Roman"/>
          <w:b/>
          <w:sz w:val="28"/>
          <w:szCs w:val="28"/>
        </w:rPr>
        <w:t>Висновки</w:t>
      </w:r>
      <w:r w:rsidRPr="00397C6F">
        <w:rPr>
          <w:rFonts w:cs="Times New Roman"/>
          <w:sz w:val="28"/>
          <w:szCs w:val="28"/>
        </w:rPr>
        <w:t xml:space="preserve">» – містить 16 висновків, які цілком логічно випливають з проведених досліджень. </w:t>
      </w:r>
    </w:p>
    <w:p w:rsidR="006819BB" w:rsidRPr="00397C6F" w:rsidRDefault="006819BB" w:rsidP="00B16CF8">
      <w:pPr>
        <w:tabs>
          <w:tab w:val="left" w:pos="567"/>
          <w:tab w:val="left" w:pos="993"/>
        </w:tabs>
        <w:ind w:firstLine="567"/>
        <w:rPr>
          <w:rFonts w:cs="Times New Roman"/>
          <w:sz w:val="28"/>
          <w:szCs w:val="28"/>
        </w:rPr>
      </w:pPr>
      <w:r w:rsidRPr="00397C6F">
        <w:rPr>
          <w:rFonts w:cs="Times New Roman"/>
          <w:b/>
          <w:sz w:val="28"/>
          <w:szCs w:val="28"/>
        </w:rPr>
        <w:t>Список використаних літературних джерел</w:t>
      </w:r>
      <w:r w:rsidRPr="00397C6F">
        <w:rPr>
          <w:rFonts w:cs="Times New Roman"/>
          <w:sz w:val="28"/>
          <w:szCs w:val="28"/>
        </w:rPr>
        <w:t xml:space="preserve"> містить достатню кількість посилань, третина з яких оприлюднена за останні 10 років.</w:t>
      </w:r>
    </w:p>
    <w:p w:rsidR="006819BB" w:rsidRPr="00397C6F" w:rsidRDefault="006819BB" w:rsidP="00B16CF8">
      <w:pPr>
        <w:pStyle w:val="Default"/>
        <w:tabs>
          <w:tab w:val="left" w:pos="993"/>
        </w:tabs>
        <w:spacing w:line="360" w:lineRule="auto"/>
        <w:ind w:firstLine="567"/>
        <w:jc w:val="both"/>
        <w:rPr>
          <w:sz w:val="28"/>
          <w:szCs w:val="28"/>
        </w:rPr>
      </w:pPr>
      <w:r w:rsidRPr="00397C6F">
        <w:rPr>
          <w:b/>
          <w:sz w:val="28"/>
          <w:szCs w:val="28"/>
        </w:rPr>
        <w:t>Обґрунтованість і достовірність</w:t>
      </w:r>
      <w:r w:rsidRPr="00397C6F">
        <w:rPr>
          <w:sz w:val="28"/>
          <w:szCs w:val="28"/>
        </w:rPr>
        <w:t xml:space="preserve"> наукових результатів і висновків. Застосовані у роботі теоретичні підходи та лабораторні методи адекватні поставленим задачам. Зроблені у дисертації висновки логічно витікають із отриманих автором даних.</w:t>
      </w:r>
    </w:p>
    <w:p w:rsidR="006819BB" w:rsidRPr="00397C6F" w:rsidRDefault="006819BB" w:rsidP="00B16CF8">
      <w:pPr>
        <w:tabs>
          <w:tab w:val="left" w:pos="993"/>
        </w:tabs>
        <w:ind w:firstLine="567"/>
        <w:rPr>
          <w:rFonts w:cs="Times New Roman"/>
          <w:b/>
          <w:sz w:val="28"/>
          <w:szCs w:val="28"/>
        </w:rPr>
      </w:pPr>
      <w:r w:rsidRPr="00397C6F">
        <w:rPr>
          <w:rFonts w:cs="Times New Roman"/>
          <w:b/>
          <w:sz w:val="28"/>
          <w:szCs w:val="28"/>
        </w:rPr>
        <w:t>Науково-практична значимість роботи</w:t>
      </w:r>
      <w:r w:rsidRPr="00397C6F">
        <w:rPr>
          <w:rFonts w:cs="Times New Roman"/>
          <w:sz w:val="28"/>
          <w:szCs w:val="28"/>
        </w:rPr>
        <w:t xml:space="preserve">. У дисертації </w:t>
      </w:r>
      <w:r w:rsidRPr="00397C6F">
        <w:rPr>
          <w:rFonts w:cs="Times New Roman"/>
          <w:b/>
          <w:bCs/>
          <w:i/>
          <w:sz w:val="28"/>
          <w:szCs w:val="28"/>
        </w:rPr>
        <w:t xml:space="preserve">вперше </w:t>
      </w:r>
      <w:r w:rsidRPr="00397C6F">
        <w:rPr>
          <w:rFonts w:cs="Times New Roman"/>
          <w:iCs/>
          <w:sz w:val="28"/>
          <w:szCs w:val="28"/>
        </w:rPr>
        <w:t xml:space="preserve"> </w:t>
      </w:r>
      <w:r w:rsidRPr="00397C6F">
        <w:rPr>
          <w:rFonts w:cs="Times New Roman"/>
          <w:bCs/>
          <w:sz w:val="28"/>
          <w:szCs w:val="28"/>
        </w:rPr>
        <w:t>в</w:t>
      </w:r>
      <w:r w:rsidRPr="00397C6F">
        <w:rPr>
          <w:rFonts w:cs="Times New Roman"/>
          <w:sz w:val="28"/>
          <w:szCs w:val="28"/>
        </w:rPr>
        <w:t xml:space="preserve">становлено роль генів </w:t>
      </w:r>
      <w:r w:rsidRPr="00397C6F">
        <w:rPr>
          <w:rFonts w:cs="Times New Roman"/>
          <w:i/>
          <w:sz w:val="28"/>
          <w:szCs w:val="28"/>
        </w:rPr>
        <w:t xml:space="preserve">SHR1, SСR1, WOL1, COB1, LIT1, SAB1 </w:t>
      </w:r>
      <w:r w:rsidRPr="00397C6F">
        <w:rPr>
          <w:rFonts w:cs="Times New Roman"/>
          <w:sz w:val="28"/>
          <w:szCs w:val="28"/>
        </w:rPr>
        <w:t>і</w:t>
      </w:r>
      <w:r w:rsidRPr="00397C6F">
        <w:rPr>
          <w:rFonts w:cs="Times New Roman"/>
          <w:i/>
          <w:sz w:val="28"/>
          <w:szCs w:val="28"/>
        </w:rPr>
        <w:t xml:space="preserve"> GPA1</w:t>
      </w:r>
      <w:r w:rsidRPr="00397C6F">
        <w:rPr>
          <w:rFonts w:cs="Times New Roman"/>
          <w:sz w:val="28"/>
          <w:szCs w:val="28"/>
        </w:rPr>
        <w:t xml:space="preserve"> в утворенні кореневої системи; виявлено вплив ауксин-, цитокінін- і етилен-індукованих мутацій на ступінь галуження коріння; </w:t>
      </w:r>
      <w:r w:rsidRPr="00397C6F">
        <w:rPr>
          <w:rFonts w:cs="Times New Roman"/>
          <w:bCs/>
          <w:sz w:val="28"/>
          <w:szCs w:val="28"/>
        </w:rPr>
        <w:t xml:space="preserve"> визначено характер </w:t>
      </w:r>
      <w:r w:rsidRPr="00397C6F">
        <w:rPr>
          <w:rStyle w:val="hps"/>
          <w:sz w:val="28"/>
          <w:szCs w:val="28"/>
        </w:rPr>
        <w:t xml:space="preserve">взаємодії генів </w:t>
      </w:r>
      <w:r w:rsidRPr="00397C6F">
        <w:rPr>
          <w:rStyle w:val="hps"/>
          <w:i/>
          <w:sz w:val="28"/>
          <w:szCs w:val="28"/>
        </w:rPr>
        <w:t>GPA1</w:t>
      </w:r>
      <w:r w:rsidRPr="00397C6F">
        <w:rPr>
          <w:rFonts w:cs="Times New Roman"/>
          <w:sz w:val="28"/>
          <w:szCs w:val="28"/>
        </w:rPr>
        <w:t xml:space="preserve"> </w:t>
      </w:r>
      <w:r w:rsidRPr="00397C6F">
        <w:rPr>
          <w:rStyle w:val="hps"/>
          <w:sz w:val="28"/>
          <w:szCs w:val="28"/>
        </w:rPr>
        <w:t>і</w:t>
      </w:r>
      <w:r w:rsidRPr="00397C6F">
        <w:rPr>
          <w:rFonts w:cs="Times New Roman"/>
          <w:sz w:val="28"/>
          <w:szCs w:val="28"/>
        </w:rPr>
        <w:t xml:space="preserve"> </w:t>
      </w:r>
      <w:r w:rsidRPr="00397C6F">
        <w:rPr>
          <w:rStyle w:val="hps"/>
          <w:i/>
          <w:sz w:val="28"/>
          <w:szCs w:val="28"/>
        </w:rPr>
        <w:t>SLR1</w:t>
      </w:r>
      <w:r w:rsidRPr="00397C6F">
        <w:rPr>
          <w:rStyle w:val="hps"/>
          <w:sz w:val="28"/>
          <w:szCs w:val="28"/>
        </w:rPr>
        <w:t xml:space="preserve"> та </w:t>
      </w:r>
      <w:r w:rsidRPr="00397C6F">
        <w:rPr>
          <w:rFonts w:cs="Times New Roman"/>
          <w:i/>
          <w:iCs/>
          <w:sz w:val="28"/>
          <w:szCs w:val="28"/>
        </w:rPr>
        <w:t xml:space="preserve">CTR1 </w:t>
      </w:r>
      <w:r w:rsidRPr="00397C6F">
        <w:rPr>
          <w:rFonts w:cs="Times New Roman"/>
          <w:sz w:val="28"/>
          <w:szCs w:val="28"/>
        </w:rPr>
        <w:t xml:space="preserve">і </w:t>
      </w:r>
      <w:r w:rsidRPr="00397C6F">
        <w:rPr>
          <w:rFonts w:cs="Times New Roman"/>
          <w:i/>
          <w:iCs/>
          <w:sz w:val="28"/>
          <w:szCs w:val="28"/>
        </w:rPr>
        <w:t>ALF3</w:t>
      </w:r>
      <w:r w:rsidRPr="00397C6F">
        <w:rPr>
          <w:rStyle w:val="hps"/>
          <w:sz w:val="28"/>
          <w:szCs w:val="28"/>
        </w:rPr>
        <w:t xml:space="preserve"> на ознаки кореневої системи; </w:t>
      </w:r>
      <w:r w:rsidRPr="00397C6F">
        <w:rPr>
          <w:rFonts w:cs="Times New Roman"/>
          <w:bCs/>
          <w:sz w:val="28"/>
          <w:szCs w:val="28"/>
        </w:rPr>
        <w:t xml:space="preserve">виявлено наявність генетичного поліморфізму за ознаками кореневого живлення </w:t>
      </w:r>
    </w:p>
    <w:p w:rsidR="006819BB" w:rsidRPr="00397C6F" w:rsidRDefault="006819BB" w:rsidP="00B16CF8">
      <w:pPr>
        <w:tabs>
          <w:tab w:val="left" w:pos="993"/>
        </w:tabs>
        <w:autoSpaceDE w:val="0"/>
        <w:autoSpaceDN w:val="0"/>
        <w:adjustRightInd w:val="0"/>
        <w:ind w:firstLine="567"/>
        <w:rPr>
          <w:rFonts w:cs="Times New Roman"/>
          <w:bCs/>
          <w:sz w:val="28"/>
          <w:szCs w:val="28"/>
        </w:rPr>
      </w:pPr>
      <w:r w:rsidRPr="00397C6F">
        <w:rPr>
          <w:rFonts w:cs="Times New Roman"/>
          <w:bCs/>
          <w:sz w:val="28"/>
          <w:szCs w:val="28"/>
        </w:rPr>
        <w:t xml:space="preserve">Рекомендовано напрями селекції у створенні сортів і гібридів культурних рослин, які ефективно використовують мінеральні елементи.  </w:t>
      </w:r>
    </w:p>
    <w:p w:rsidR="006819BB" w:rsidRPr="00397C6F" w:rsidRDefault="006819BB" w:rsidP="00B16CF8">
      <w:pPr>
        <w:pStyle w:val="Default"/>
        <w:tabs>
          <w:tab w:val="left" w:pos="993"/>
        </w:tabs>
        <w:spacing w:line="360" w:lineRule="auto"/>
        <w:ind w:firstLine="567"/>
        <w:jc w:val="both"/>
        <w:rPr>
          <w:sz w:val="28"/>
          <w:szCs w:val="28"/>
        </w:rPr>
      </w:pPr>
      <w:r w:rsidRPr="00397C6F">
        <w:rPr>
          <w:b/>
          <w:sz w:val="28"/>
          <w:szCs w:val="28"/>
        </w:rPr>
        <w:t>Повнота викладення основних результатів досліджень у наукових фахових виданнях</w:t>
      </w:r>
      <w:r w:rsidRPr="00397C6F">
        <w:rPr>
          <w:sz w:val="28"/>
          <w:szCs w:val="28"/>
        </w:rPr>
        <w:t xml:space="preserve">. </w:t>
      </w:r>
      <w:r w:rsidRPr="00397C6F">
        <w:rPr>
          <w:bCs/>
          <w:sz w:val="28"/>
          <w:szCs w:val="28"/>
        </w:rPr>
        <w:t>За темою дисертації опубліковано 45 наукових праць, у тому числі 1 монографія, 23 статті – у наукових фахових виданнях України, 9 статей – у профільних наукових періодичних виданнях інших держав та 12 тез доповідей – у матеріалах наукових конференцій.</w:t>
      </w:r>
      <w:r w:rsidRPr="00397C6F">
        <w:rPr>
          <w:sz w:val="28"/>
          <w:szCs w:val="28"/>
        </w:rPr>
        <w:t xml:space="preserve"> Автореферат достатньо повно відображає одержані експериментальні результати і основний зміст роботи. </w:t>
      </w:r>
    </w:p>
    <w:p w:rsidR="006819BB" w:rsidRPr="00397C6F" w:rsidRDefault="006819BB" w:rsidP="00B16CF8">
      <w:pPr>
        <w:pStyle w:val="Default"/>
        <w:tabs>
          <w:tab w:val="left" w:pos="993"/>
        </w:tabs>
        <w:spacing w:line="360" w:lineRule="auto"/>
        <w:ind w:firstLine="567"/>
        <w:jc w:val="both"/>
        <w:rPr>
          <w:b/>
          <w:sz w:val="28"/>
          <w:szCs w:val="28"/>
        </w:rPr>
      </w:pPr>
      <w:r w:rsidRPr="00397C6F">
        <w:rPr>
          <w:b/>
          <w:sz w:val="28"/>
          <w:szCs w:val="28"/>
        </w:rPr>
        <w:t xml:space="preserve">Зауваження щодо змісту та оформлення дисертації. </w:t>
      </w:r>
    </w:p>
    <w:p w:rsidR="006819BB" w:rsidRPr="00397C6F" w:rsidRDefault="006819BB" w:rsidP="00B16CF8">
      <w:pPr>
        <w:pStyle w:val="Default"/>
        <w:tabs>
          <w:tab w:val="left" w:pos="851"/>
          <w:tab w:val="left" w:pos="993"/>
        </w:tabs>
        <w:spacing w:line="360" w:lineRule="auto"/>
        <w:ind w:firstLine="567"/>
        <w:jc w:val="both"/>
        <w:rPr>
          <w:color w:val="auto"/>
          <w:sz w:val="28"/>
          <w:szCs w:val="28"/>
        </w:rPr>
      </w:pPr>
      <w:r w:rsidRPr="00397C6F">
        <w:rPr>
          <w:color w:val="auto"/>
          <w:sz w:val="28"/>
          <w:szCs w:val="28"/>
        </w:rPr>
        <w:t xml:space="preserve">Робота містить і деякі недоліки та упущення. </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color w:val="auto"/>
          <w:sz w:val="28"/>
          <w:szCs w:val="28"/>
        </w:rPr>
        <w:t>У розділі «Матеріали та методи досліджень» дається занадто детальна хрестоматійна ботанічна характеристика арабідопсису, що немає безпосереднього відношення до роботи.</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color w:val="auto"/>
          <w:sz w:val="28"/>
          <w:szCs w:val="28"/>
        </w:rPr>
        <w:t xml:space="preserve">При вирощуванні рослин автор </w:t>
      </w:r>
      <w:r w:rsidRPr="00397C6F">
        <w:rPr>
          <w:sz w:val="28"/>
          <w:szCs w:val="28"/>
        </w:rPr>
        <w:t>підтримував «цілодобову висвітленість в межах 4000</w:t>
      </w:r>
      <w:r w:rsidRPr="00397C6F">
        <w:rPr>
          <w:iCs/>
          <w:sz w:val="28"/>
          <w:szCs w:val="28"/>
        </w:rPr>
        <w:t>–</w:t>
      </w:r>
      <w:r w:rsidRPr="00397C6F">
        <w:rPr>
          <w:sz w:val="28"/>
          <w:szCs w:val="28"/>
        </w:rPr>
        <w:t xml:space="preserve">7000 лк». Не зрозуміло, з якою метою рослини освітлювались цілодобово. Адже відомо, що для нормального розвитку арабідопсису зазвичай використовують 16-годинний світловий день. </w:t>
      </w:r>
      <w:r w:rsidRPr="00397C6F">
        <w:rPr>
          <w:color w:val="auto"/>
          <w:sz w:val="28"/>
          <w:szCs w:val="28"/>
        </w:rPr>
        <w:t xml:space="preserve">Крім того розбіжність між 4000 та 7000 Лк є досить великою, отже умови вирощування не були стандартизованими, а це в свою чергу має суттєвий вплив на розвиток рослин. </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color w:val="auto"/>
          <w:sz w:val="28"/>
          <w:szCs w:val="28"/>
        </w:rPr>
        <w:t xml:space="preserve">Як проводився скринінг/перевірка насіння мутантних ліній отриманих </w:t>
      </w:r>
      <w:r w:rsidRPr="00397C6F">
        <w:rPr>
          <w:sz w:val="28"/>
          <w:szCs w:val="28"/>
        </w:rPr>
        <w:t xml:space="preserve">із колекції </w:t>
      </w:r>
      <w:r w:rsidRPr="00397C6F">
        <w:rPr>
          <w:sz w:val="28"/>
          <w:szCs w:val="28"/>
          <w:lang w:val="en-US"/>
        </w:rPr>
        <w:t>NASC</w:t>
      </w:r>
      <w:r w:rsidRPr="00397C6F">
        <w:rPr>
          <w:sz w:val="28"/>
          <w:szCs w:val="28"/>
        </w:rPr>
        <w:t>?</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sz w:val="28"/>
          <w:szCs w:val="28"/>
        </w:rPr>
        <w:t xml:space="preserve">Скільки разів закладався експеримент? Для скількох рослин проводились порівняльно-морфологічні, фенологічні спостереження, агрохімічна ефективність і т.п.? </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sz w:val="28"/>
          <w:szCs w:val="28"/>
        </w:rPr>
        <w:t xml:space="preserve"> Для вирощування рослин дисертант готував грунтосуміш. «Для приготування </w:t>
      </w:r>
      <w:r w:rsidRPr="00397C6F">
        <w:rPr>
          <w:iCs/>
          <w:sz w:val="28"/>
          <w:szCs w:val="28"/>
        </w:rPr>
        <w:t>ґ</w:t>
      </w:r>
      <w:r w:rsidRPr="00397C6F">
        <w:rPr>
          <w:sz w:val="28"/>
          <w:szCs w:val="28"/>
        </w:rPr>
        <w:t xml:space="preserve">рунтосуміші заготовляли </w:t>
      </w:r>
      <w:r w:rsidRPr="00397C6F">
        <w:rPr>
          <w:iCs/>
          <w:sz w:val="28"/>
          <w:szCs w:val="28"/>
        </w:rPr>
        <w:t>ґ</w:t>
      </w:r>
      <w:r w:rsidRPr="00397C6F">
        <w:rPr>
          <w:sz w:val="28"/>
          <w:szCs w:val="28"/>
        </w:rPr>
        <w:t>рунт, пісок і торф. Для вирощування арабідопсису підходить, зокрема, чорнозем звичайний, взятий під листяними деревами. При цьому верхній 10</w:t>
      </w:r>
      <w:r w:rsidRPr="00397C6F">
        <w:rPr>
          <w:iCs/>
          <w:sz w:val="28"/>
          <w:szCs w:val="28"/>
        </w:rPr>
        <w:t>–</w:t>
      </w:r>
      <w:r w:rsidRPr="00397C6F">
        <w:rPr>
          <w:sz w:val="28"/>
          <w:szCs w:val="28"/>
        </w:rPr>
        <w:t>15 сантиметровий шар ґрунту знімали… Торф придатний верхівковий чи перехідний … Пісок брали річковий. Можна також використовувати звичайний кварцовий пісок, що застосовується у будівництві». Сьогодні у продажу існують різні грунтосуміші, придатні для вирощування арабідопсису, які є стандартизовані за вмістом фосфору, нітрогену та ін. сполук, і є більш коректними для використання у наукових цілях.</w:t>
      </w:r>
    </w:p>
    <w:p w:rsidR="006819BB" w:rsidRPr="00397C6F"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sz w:val="28"/>
          <w:szCs w:val="28"/>
        </w:rPr>
        <w:t xml:space="preserve">У розділах, присвячених результатам зазначаються термінологія, факти, які є загальновідомими з підручників для вузів («Фізіологія рослин», «Анатомія рослин») і не повинні детально прописуватись у докторській дисертаційній роботі: За визначенням корінь – це осьовий вегетативний орган вищих рослин, що не несе на собі листків і репродуктивних елементів» (розділ 3.1.1.); «У рослин … життєвий цикл зазвичай можна розділити на: вегетативний і генеративний період …», «життєвий цикл (онтогенез) у рослин </w:t>
      </w:r>
      <w:r w:rsidRPr="00397C6F">
        <w:rPr>
          <w:i/>
          <w:sz w:val="28"/>
          <w:szCs w:val="28"/>
        </w:rPr>
        <w:t>A. thaliana</w:t>
      </w:r>
      <w:r w:rsidRPr="00397C6F">
        <w:rPr>
          <w:sz w:val="28"/>
          <w:szCs w:val="28"/>
        </w:rPr>
        <w:t>, як і у всіх вищих рослин, починається з моменту формування зародкової бруньки і закінчується відмиранням рослини» (розділ 3.1.2.) і т.д.</w:t>
      </w:r>
    </w:p>
    <w:p w:rsidR="006819BB" w:rsidRPr="006677F8" w:rsidRDefault="006819BB" w:rsidP="00397C6F">
      <w:pPr>
        <w:pStyle w:val="Default"/>
        <w:numPr>
          <w:ilvl w:val="0"/>
          <w:numId w:val="4"/>
        </w:numPr>
        <w:tabs>
          <w:tab w:val="left" w:pos="709"/>
          <w:tab w:val="left" w:pos="851"/>
        </w:tabs>
        <w:spacing w:line="360" w:lineRule="auto"/>
        <w:ind w:left="0" w:firstLine="567"/>
        <w:jc w:val="both"/>
        <w:rPr>
          <w:color w:val="auto"/>
          <w:sz w:val="28"/>
          <w:szCs w:val="28"/>
        </w:rPr>
      </w:pPr>
      <w:r w:rsidRPr="00397C6F">
        <w:rPr>
          <w:color w:val="auto"/>
          <w:sz w:val="28"/>
          <w:szCs w:val="28"/>
        </w:rPr>
        <w:t xml:space="preserve">На рисунку 4.7 представлено </w:t>
      </w:r>
      <w:r w:rsidRPr="00397C6F">
        <w:rPr>
          <w:sz w:val="28"/>
          <w:szCs w:val="28"/>
        </w:rPr>
        <w:t xml:space="preserve">успадковування типу кореневої системи і характеру будови коренів у </w:t>
      </w:r>
      <w:r w:rsidRPr="00397C6F">
        <w:rPr>
          <w:i/>
          <w:sz w:val="28"/>
          <w:szCs w:val="28"/>
        </w:rPr>
        <w:t>A. thaliana</w:t>
      </w:r>
      <w:r w:rsidRPr="00397C6F">
        <w:rPr>
          <w:sz w:val="28"/>
          <w:szCs w:val="28"/>
        </w:rPr>
        <w:t xml:space="preserve"> при взаємодії двох пар генів. Тут подані </w:t>
      </w:r>
    </w:p>
    <w:p w:rsidR="006819BB" w:rsidRPr="00B16CF8" w:rsidRDefault="006819BB" w:rsidP="006677F8">
      <w:pPr>
        <w:pStyle w:val="Default"/>
        <w:tabs>
          <w:tab w:val="left" w:pos="709"/>
          <w:tab w:val="left" w:pos="851"/>
        </w:tabs>
        <w:spacing w:line="360" w:lineRule="auto"/>
        <w:jc w:val="both"/>
        <w:rPr>
          <w:sz w:val="28"/>
          <w:szCs w:val="28"/>
        </w:rPr>
      </w:pPr>
      <w:r w:rsidRPr="006677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780pt">
            <v:imagedata r:id="rId5" o:title=""/>
          </v:shape>
        </w:pict>
      </w:r>
    </w:p>
    <w:sectPr w:rsidR="006819BB" w:rsidRPr="00B16CF8" w:rsidSect="0030551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056D0"/>
    <w:multiLevelType w:val="hybridMultilevel"/>
    <w:tmpl w:val="9A4011F2"/>
    <w:lvl w:ilvl="0" w:tplc="C8120D82">
      <w:start w:val="1"/>
      <w:numFmt w:val="decimal"/>
      <w:lvlText w:val="%1."/>
      <w:lvlJc w:val="left"/>
      <w:pPr>
        <w:ind w:left="1437" w:hanging="87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
    <w:nsid w:val="29590590"/>
    <w:multiLevelType w:val="hybridMultilevel"/>
    <w:tmpl w:val="9D101C8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2F28544E"/>
    <w:multiLevelType w:val="hybridMultilevel"/>
    <w:tmpl w:val="EFD425CE"/>
    <w:lvl w:ilvl="0" w:tplc="0422000F">
      <w:start w:val="1"/>
      <w:numFmt w:val="decimal"/>
      <w:lvlText w:val="%1."/>
      <w:lvlJc w:val="left"/>
      <w:pPr>
        <w:tabs>
          <w:tab w:val="num" w:pos="1440"/>
        </w:tabs>
        <w:ind w:left="1440" w:hanging="360"/>
      </w:pPr>
      <w:rPr>
        <w:rFonts w:cs="Times New Roman"/>
      </w:rPr>
    </w:lvl>
    <w:lvl w:ilvl="1" w:tplc="04220019" w:tentative="1">
      <w:start w:val="1"/>
      <w:numFmt w:val="lowerLetter"/>
      <w:lvlText w:val="%2."/>
      <w:lvlJc w:val="left"/>
      <w:pPr>
        <w:tabs>
          <w:tab w:val="num" w:pos="2160"/>
        </w:tabs>
        <w:ind w:left="2160" w:hanging="360"/>
      </w:pPr>
      <w:rPr>
        <w:rFonts w:cs="Times New Roman"/>
      </w:rPr>
    </w:lvl>
    <w:lvl w:ilvl="2" w:tplc="0422001B" w:tentative="1">
      <w:start w:val="1"/>
      <w:numFmt w:val="lowerRoman"/>
      <w:lvlText w:val="%3."/>
      <w:lvlJc w:val="right"/>
      <w:pPr>
        <w:tabs>
          <w:tab w:val="num" w:pos="2880"/>
        </w:tabs>
        <w:ind w:left="2880" w:hanging="180"/>
      </w:pPr>
      <w:rPr>
        <w:rFonts w:cs="Times New Roman"/>
      </w:rPr>
    </w:lvl>
    <w:lvl w:ilvl="3" w:tplc="0422000F" w:tentative="1">
      <w:start w:val="1"/>
      <w:numFmt w:val="decimal"/>
      <w:lvlText w:val="%4."/>
      <w:lvlJc w:val="left"/>
      <w:pPr>
        <w:tabs>
          <w:tab w:val="num" w:pos="3600"/>
        </w:tabs>
        <w:ind w:left="3600" w:hanging="360"/>
      </w:pPr>
      <w:rPr>
        <w:rFonts w:cs="Times New Roman"/>
      </w:rPr>
    </w:lvl>
    <w:lvl w:ilvl="4" w:tplc="04220019" w:tentative="1">
      <w:start w:val="1"/>
      <w:numFmt w:val="lowerLetter"/>
      <w:lvlText w:val="%5."/>
      <w:lvlJc w:val="left"/>
      <w:pPr>
        <w:tabs>
          <w:tab w:val="num" w:pos="4320"/>
        </w:tabs>
        <w:ind w:left="4320" w:hanging="360"/>
      </w:pPr>
      <w:rPr>
        <w:rFonts w:cs="Times New Roman"/>
      </w:rPr>
    </w:lvl>
    <w:lvl w:ilvl="5" w:tplc="0422001B" w:tentative="1">
      <w:start w:val="1"/>
      <w:numFmt w:val="lowerRoman"/>
      <w:lvlText w:val="%6."/>
      <w:lvlJc w:val="right"/>
      <w:pPr>
        <w:tabs>
          <w:tab w:val="num" w:pos="5040"/>
        </w:tabs>
        <w:ind w:left="5040" w:hanging="180"/>
      </w:pPr>
      <w:rPr>
        <w:rFonts w:cs="Times New Roman"/>
      </w:rPr>
    </w:lvl>
    <w:lvl w:ilvl="6" w:tplc="0422000F" w:tentative="1">
      <w:start w:val="1"/>
      <w:numFmt w:val="decimal"/>
      <w:lvlText w:val="%7."/>
      <w:lvlJc w:val="left"/>
      <w:pPr>
        <w:tabs>
          <w:tab w:val="num" w:pos="5760"/>
        </w:tabs>
        <w:ind w:left="5760" w:hanging="360"/>
      </w:pPr>
      <w:rPr>
        <w:rFonts w:cs="Times New Roman"/>
      </w:rPr>
    </w:lvl>
    <w:lvl w:ilvl="7" w:tplc="04220019" w:tentative="1">
      <w:start w:val="1"/>
      <w:numFmt w:val="lowerLetter"/>
      <w:lvlText w:val="%8."/>
      <w:lvlJc w:val="left"/>
      <w:pPr>
        <w:tabs>
          <w:tab w:val="num" w:pos="6480"/>
        </w:tabs>
        <w:ind w:left="6480" w:hanging="360"/>
      </w:pPr>
      <w:rPr>
        <w:rFonts w:cs="Times New Roman"/>
      </w:rPr>
    </w:lvl>
    <w:lvl w:ilvl="8" w:tplc="0422001B" w:tentative="1">
      <w:start w:val="1"/>
      <w:numFmt w:val="lowerRoman"/>
      <w:lvlText w:val="%9."/>
      <w:lvlJc w:val="right"/>
      <w:pPr>
        <w:tabs>
          <w:tab w:val="num" w:pos="7200"/>
        </w:tabs>
        <w:ind w:left="7200" w:hanging="180"/>
      </w:pPr>
      <w:rPr>
        <w:rFonts w:cs="Times New Roman"/>
      </w:rPr>
    </w:lvl>
  </w:abstractNum>
  <w:abstractNum w:abstractNumId="3">
    <w:nsid w:val="3C7752E1"/>
    <w:multiLevelType w:val="hybridMultilevel"/>
    <w:tmpl w:val="72FE1F7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4D3C33E3"/>
    <w:multiLevelType w:val="hybridMultilevel"/>
    <w:tmpl w:val="69EE4F72"/>
    <w:lvl w:ilvl="0" w:tplc="EA321B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6C70"/>
    <w:rsid w:val="00012029"/>
    <w:rsid w:val="00014371"/>
    <w:rsid w:val="000403DA"/>
    <w:rsid w:val="000729F8"/>
    <w:rsid w:val="000765EF"/>
    <w:rsid w:val="00097ACE"/>
    <w:rsid w:val="000A07B2"/>
    <w:rsid w:val="000B0070"/>
    <w:rsid w:val="00106D39"/>
    <w:rsid w:val="001E393E"/>
    <w:rsid w:val="00261049"/>
    <w:rsid w:val="002942D5"/>
    <w:rsid w:val="002D01CD"/>
    <w:rsid w:val="00305511"/>
    <w:rsid w:val="00324EED"/>
    <w:rsid w:val="00397C6F"/>
    <w:rsid w:val="003B6349"/>
    <w:rsid w:val="003C561B"/>
    <w:rsid w:val="003D79B5"/>
    <w:rsid w:val="004C6BFE"/>
    <w:rsid w:val="004D2688"/>
    <w:rsid w:val="004F733D"/>
    <w:rsid w:val="005329C8"/>
    <w:rsid w:val="005C1A9D"/>
    <w:rsid w:val="005C3D9C"/>
    <w:rsid w:val="005D7E80"/>
    <w:rsid w:val="005E7C61"/>
    <w:rsid w:val="00611284"/>
    <w:rsid w:val="00623FF6"/>
    <w:rsid w:val="006677F8"/>
    <w:rsid w:val="00674D96"/>
    <w:rsid w:val="006819BB"/>
    <w:rsid w:val="006D7842"/>
    <w:rsid w:val="006E2C83"/>
    <w:rsid w:val="00746E9B"/>
    <w:rsid w:val="0076748B"/>
    <w:rsid w:val="00784AA3"/>
    <w:rsid w:val="007A7055"/>
    <w:rsid w:val="007C7E13"/>
    <w:rsid w:val="00804C3F"/>
    <w:rsid w:val="00824E28"/>
    <w:rsid w:val="0084150D"/>
    <w:rsid w:val="008E2D10"/>
    <w:rsid w:val="008F06A9"/>
    <w:rsid w:val="00926AAD"/>
    <w:rsid w:val="009529AD"/>
    <w:rsid w:val="00980D79"/>
    <w:rsid w:val="009B4AA2"/>
    <w:rsid w:val="009C3B66"/>
    <w:rsid w:val="00A72E71"/>
    <w:rsid w:val="00A82D52"/>
    <w:rsid w:val="00A948EB"/>
    <w:rsid w:val="00AD069F"/>
    <w:rsid w:val="00AD0E14"/>
    <w:rsid w:val="00B16CF8"/>
    <w:rsid w:val="00B26F32"/>
    <w:rsid w:val="00B34898"/>
    <w:rsid w:val="00B34E7F"/>
    <w:rsid w:val="00BD5E2B"/>
    <w:rsid w:val="00BF6A7F"/>
    <w:rsid w:val="00C04AA7"/>
    <w:rsid w:val="00C24A3F"/>
    <w:rsid w:val="00C26D9A"/>
    <w:rsid w:val="00C409C9"/>
    <w:rsid w:val="00C43FC5"/>
    <w:rsid w:val="00CA5ED3"/>
    <w:rsid w:val="00CB0B1A"/>
    <w:rsid w:val="00CB3273"/>
    <w:rsid w:val="00CD3948"/>
    <w:rsid w:val="00CE150C"/>
    <w:rsid w:val="00CE1663"/>
    <w:rsid w:val="00D206FA"/>
    <w:rsid w:val="00D81F69"/>
    <w:rsid w:val="00DE75CA"/>
    <w:rsid w:val="00DF6C70"/>
    <w:rsid w:val="00E27F32"/>
    <w:rsid w:val="00E80672"/>
    <w:rsid w:val="00E83E2E"/>
    <w:rsid w:val="00F33697"/>
    <w:rsid w:val="00F41D0A"/>
    <w:rsid w:val="00F43D4B"/>
    <w:rsid w:val="00F72252"/>
    <w:rsid w:val="00FB26AD"/>
    <w:rsid w:val="00FD19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Arial"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029"/>
    <w:pPr>
      <w:spacing w:line="360" w:lineRule="auto"/>
      <w:contextualSpacing/>
      <w:jc w:val="both"/>
    </w:pPr>
    <w:rPr>
      <w:rFonts w:ascii="Times New Roman" w:hAnsi="Times New Roman" w:cs="Arial"/>
      <w:sz w:val="24"/>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CE1663"/>
    <w:pPr>
      <w:autoSpaceDE w:val="0"/>
      <w:autoSpaceDN w:val="0"/>
      <w:adjustRightInd w:val="0"/>
    </w:pPr>
    <w:rPr>
      <w:rFonts w:ascii="Times New Roman" w:hAnsi="Times New Roman"/>
      <w:color w:val="000000"/>
      <w:sz w:val="24"/>
      <w:szCs w:val="24"/>
      <w:lang w:val="uk-UA" w:eastAsia="en-US"/>
    </w:rPr>
  </w:style>
  <w:style w:type="paragraph" w:styleId="ListParagraph">
    <w:name w:val="List Paragraph"/>
    <w:basedOn w:val="Normal"/>
    <w:uiPriority w:val="99"/>
    <w:qFormat/>
    <w:rsid w:val="002942D5"/>
    <w:pPr>
      <w:ind w:left="720"/>
    </w:pPr>
  </w:style>
  <w:style w:type="character" w:customStyle="1" w:styleId="hps">
    <w:name w:val="hps"/>
    <w:basedOn w:val="DefaultParagraphFont"/>
    <w:uiPriority w:val="99"/>
    <w:rsid w:val="00324EED"/>
    <w:rPr>
      <w:rFonts w:cs="Times New Roman"/>
    </w:rPr>
  </w:style>
  <w:style w:type="paragraph" w:styleId="Header">
    <w:name w:val="header"/>
    <w:basedOn w:val="Normal"/>
    <w:link w:val="HeaderChar"/>
    <w:uiPriority w:val="99"/>
    <w:rsid w:val="00926AAD"/>
    <w:pPr>
      <w:tabs>
        <w:tab w:val="center" w:pos="4677"/>
        <w:tab w:val="right" w:pos="9355"/>
      </w:tabs>
      <w:spacing w:line="240" w:lineRule="auto"/>
      <w:contextualSpacing w:val="0"/>
      <w:jc w:val="left"/>
    </w:pPr>
    <w:rPr>
      <w:rFonts w:eastAsia="Times New Roman" w:cs="Times New Roman"/>
      <w:szCs w:val="24"/>
      <w:lang w:eastAsia="uk-UA"/>
    </w:rPr>
  </w:style>
  <w:style w:type="character" w:customStyle="1" w:styleId="HeaderChar">
    <w:name w:val="Header Char"/>
    <w:basedOn w:val="DefaultParagraphFont"/>
    <w:link w:val="Header"/>
    <w:uiPriority w:val="99"/>
    <w:locked/>
    <w:rsid w:val="00926AAD"/>
    <w:rPr>
      <w:rFonts w:ascii="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421341888">
      <w:marLeft w:val="0"/>
      <w:marRight w:val="0"/>
      <w:marTop w:val="0"/>
      <w:marBottom w:val="0"/>
      <w:divBdr>
        <w:top w:val="none" w:sz="0" w:space="0" w:color="auto"/>
        <w:left w:val="none" w:sz="0" w:space="0" w:color="auto"/>
        <w:bottom w:val="none" w:sz="0" w:space="0" w:color="auto"/>
        <w:right w:val="none" w:sz="0" w:space="0" w:color="auto"/>
      </w:divBdr>
    </w:div>
    <w:div w:id="421341889">
      <w:marLeft w:val="0"/>
      <w:marRight w:val="0"/>
      <w:marTop w:val="0"/>
      <w:marBottom w:val="0"/>
      <w:divBdr>
        <w:top w:val="none" w:sz="0" w:space="0" w:color="auto"/>
        <w:left w:val="none" w:sz="0" w:space="0" w:color="auto"/>
        <w:bottom w:val="none" w:sz="0" w:space="0" w:color="auto"/>
        <w:right w:val="none" w:sz="0" w:space="0" w:color="auto"/>
      </w:divBdr>
    </w:div>
    <w:div w:id="421341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430</TotalTime>
  <Pages>5</Pages>
  <Words>1230</Words>
  <Characters>7012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Nucleus</dc:creator>
  <cp:keywords/>
  <dc:description/>
  <cp:lastModifiedBy>User</cp:lastModifiedBy>
  <cp:revision>6</cp:revision>
  <cp:lastPrinted>2019-05-13T11:57:00Z</cp:lastPrinted>
  <dcterms:created xsi:type="dcterms:W3CDTF">2019-05-12T09:58:00Z</dcterms:created>
  <dcterms:modified xsi:type="dcterms:W3CDTF">2019-05-13T13:14:00Z</dcterms:modified>
</cp:coreProperties>
</file>